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6789" w14:textId="7107F5AC" w:rsidR="00E14E39" w:rsidRPr="00E14E39" w:rsidRDefault="00E14E39" w:rsidP="00E14E39">
      <w:pPr>
        <w:shd w:val="clear" w:color="auto" w:fill="FFFFFF"/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b/>
          <w:bCs/>
          <w:sz w:val="24"/>
          <w:szCs w:val="24"/>
        </w:rPr>
      </w:pPr>
      <w:r w:rsidRPr="00E14E39">
        <w:rPr>
          <w:b/>
          <w:bCs/>
          <w:sz w:val="24"/>
          <w:szCs w:val="24"/>
        </w:rPr>
        <w:t>Kierunek Finanse i Rachunkowość, stopień I</w:t>
      </w:r>
    </w:p>
    <w:p w14:paraId="5968C31E" w14:textId="4131A6D1" w:rsidR="00E14E39" w:rsidRPr="00E14E39" w:rsidRDefault="00E14E39" w:rsidP="00E14E39">
      <w:pPr>
        <w:shd w:val="clear" w:color="auto" w:fill="FFFFFF"/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b/>
          <w:bCs/>
          <w:sz w:val="24"/>
          <w:szCs w:val="24"/>
        </w:rPr>
      </w:pPr>
      <w:r w:rsidRPr="00E14E39">
        <w:rPr>
          <w:b/>
          <w:bCs/>
          <w:sz w:val="24"/>
          <w:szCs w:val="24"/>
        </w:rPr>
        <w:t>Pytania specjalnościowe: Doradztwo biznesowe</w:t>
      </w:r>
    </w:p>
    <w:p w14:paraId="2CD986AD" w14:textId="77777777" w:rsidR="00E356C4" w:rsidRPr="00E14E39" w:rsidRDefault="00E356C4" w:rsidP="00E356C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rFonts w:eastAsia="Times New Roman"/>
          <w:color w:val="000000"/>
          <w:sz w:val="24"/>
          <w:szCs w:val="24"/>
        </w:rPr>
        <w:t>Plan operacyjny a plan strategiczny - istota, podobieństwa różnice</w:t>
      </w:r>
    </w:p>
    <w:p w14:paraId="301052D2" w14:textId="77777777" w:rsidR="00E356C4" w:rsidRPr="00E14E39" w:rsidRDefault="00E356C4" w:rsidP="00E356C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rFonts w:eastAsia="Times New Roman"/>
          <w:color w:val="000000"/>
          <w:sz w:val="24"/>
          <w:szCs w:val="24"/>
        </w:rPr>
        <w:t>Procedura identyfikacji przewag i słabości konkurencyjnych w planowaniu biznesu</w:t>
      </w:r>
    </w:p>
    <w:p w14:paraId="50B2E18D" w14:textId="77777777" w:rsidR="00E14E39" w:rsidRPr="00E14E39" w:rsidRDefault="00E356C4" w:rsidP="00E14E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rFonts w:eastAsia="Times New Roman"/>
          <w:color w:val="000000"/>
          <w:sz w:val="24"/>
          <w:szCs w:val="24"/>
        </w:rPr>
        <w:t>Segmentacja rynku - istota i jej znaczenie w planowaniu biznesowym</w:t>
      </w:r>
    </w:p>
    <w:p w14:paraId="4E55A2AE" w14:textId="77777777" w:rsidR="00E14E39" w:rsidRPr="00E14E39" w:rsidRDefault="00E356C4" w:rsidP="00E14E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rFonts w:eastAsia="Times New Roman"/>
          <w:color w:val="000000"/>
          <w:sz w:val="24"/>
          <w:szCs w:val="24"/>
        </w:rPr>
        <w:t>Istota i zastosowanie kryterium NPV i IRR z biznes plani</w:t>
      </w:r>
      <w:r w:rsidR="00E14E39" w:rsidRPr="00E14E39">
        <w:rPr>
          <w:rFonts w:eastAsia="Times New Roman"/>
          <w:color w:val="000000"/>
          <w:sz w:val="24"/>
          <w:szCs w:val="24"/>
        </w:rPr>
        <w:t>e</w:t>
      </w:r>
    </w:p>
    <w:p w14:paraId="6678747A" w14:textId="77777777" w:rsidR="00E14E39" w:rsidRPr="00E14E39" w:rsidRDefault="00E14E39" w:rsidP="00E14E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rFonts w:eastAsia="Times New Roman"/>
          <w:color w:val="000000"/>
          <w:sz w:val="24"/>
          <w:szCs w:val="24"/>
        </w:rPr>
        <w:t>P</w:t>
      </w:r>
      <w:r w:rsidR="003839DA" w:rsidRPr="00E14E39">
        <w:rPr>
          <w:rFonts w:eastAsia="Times New Roman"/>
          <w:color w:val="000000"/>
          <w:sz w:val="24"/>
          <w:szCs w:val="24"/>
        </w:rPr>
        <w:t xml:space="preserve">odobieństwa i </w:t>
      </w:r>
      <w:r w:rsidRPr="00E14E39">
        <w:rPr>
          <w:rFonts w:eastAsia="Times New Roman"/>
          <w:color w:val="000000"/>
          <w:sz w:val="24"/>
          <w:szCs w:val="24"/>
        </w:rPr>
        <w:t>różnice</w:t>
      </w:r>
      <w:r w:rsidR="003839DA" w:rsidRPr="00E14E39">
        <w:rPr>
          <w:rFonts w:eastAsia="Times New Roman"/>
          <w:color w:val="000000"/>
          <w:sz w:val="24"/>
          <w:szCs w:val="24"/>
        </w:rPr>
        <w:t xml:space="preserve"> kontraktów typu </w:t>
      </w:r>
      <w:proofErr w:type="spellStart"/>
      <w:r w:rsidR="003839DA" w:rsidRPr="00E14E39">
        <w:rPr>
          <w:rFonts w:eastAsia="Times New Roman"/>
          <w:color w:val="000000"/>
          <w:sz w:val="24"/>
          <w:szCs w:val="24"/>
        </w:rPr>
        <w:t>futures</w:t>
      </w:r>
      <w:proofErr w:type="spellEnd"/>
      <w:r w:rsidR="003839DA" w:rsidRPr="00E14E39">
        <w:rPr>
          <w:rFonts w:eastAsia="Times New Roman"/>
          <w:color w:val="000000"/>
          <w:sz w:val="24"/>
          <w:szCs w:val="24"/>
        </w:rPr>
        <w:t xml:space="preserve"> i </w:t>
      </w:r>
      <w:proofErr w:type="spellStart"/>
      <w:r w:rsidR="003839DA" w:rsidRPr="00E14E39">
        <w:rPr>
          <w:rFonts w:eastAsia="Times New Roman"/>
          <w:color w:val="000000"/>
          <w:sz w:val="24"/>
          <w:szCs w:val="24"/>
        </w:rPr>
        <w:t>forward</w:t>
      </w:r>
      <w:proofErr w:type="spellEnd"/>
      <w:r w:rsidR="003839DA" w:rsidRPr="00E14E39">
        <w:rPr>
          <w:rFonts w:eastAsia="Times New Roman"/>
          <w:color w:val="000000"/>
          <w:sz w:val="24"/>
          <w:szCs w:val="24"/>
        </w:rPr>
        <w:t>.</w:t>
      </w:r>
    </w:p>
    <w:p w14:paraId="5CEE5ED0" w14:textId="77777777" w:rsidR="00E14E39" w:rsidRPr="00E14E39" w:rsidRDefault="00E14E39" w:rsidP="00E14E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rFonts w:eastAsia="Times New Roman"/>
          <w:color w:val="000000"/>
          <w:sz w:val="24"/>
          <w:szCs w:val="24"/>
        </w:rPr>
        <w:t>Scharakteryzuj kontrakt</w:t>
      </w:r>
      <w:r w:rsidR="003839DA" w:rsidRPr="00E14E3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839DA" w:rsidRPr="00E14E39">
        <w:rPr>
          <w:rFonts w:eastAsia="Times New Roman"/>
          <w:color w:val="000000"/>
          <w:sz w:val="24"/>
          <w:szCs w:val="24"/>
        </w:rPr>
        <w:t>opcyjny</w:t>
      </w:r>
      <w:proofErr w:type="spellEnd"/>
      <w:r w:rsidR="003839DA" w:rsidRPr="00E14E39">
        <w:rPr>
          <w:rFonts w:eastAsia="Times New Roman"/>
          <w:color w:val="000000"/>
          <w:sz w:val="24"/>
          <w:szCs w:val="24"/>
        </w:rPr>
        <w:t xml:space="preserve"> i wymie</w:t>
      </w:r>
      <w:r w:rsidRPr="00E14E39">
        <w:rPr>
          <w:rFonts w:eastAsia="Times New Roman"/>
          <w:color w:val="000000"/>
          <w:sz w:val="24"/>
          <w:szCs w:val="24"/>
        </w:rPr>
        <w:t>ń</w:t>
      </w:r>
      <w:r w:rsidR="003839DA" w:rsidRPr="00E14E39">
        <w:rPr>
          <w:rFonts w:eastAsia="Times New Roman"/>
          <w:color w:val="000000"/>
          <w:sz w:val="24"/>
          <w:szCs w:val="24"/>
        </w:rPr>
        <w:t xml:space="preserve"> kilka wybranych strategii </w:t>
      </w:r>
      <w:proofErr w:type="spellStart"/>
      <w:r w:rsidR="003839DA" w:rsidRPr="00E14E39">
        <w:rPr>
          <w:rFonts w:eastAsia="Times New Roman"/>
          <w:color w:val="000000"/>
          <w:sz w:val="24"/>
          <w:szCs w:val="24"/>
        </w:rPr>
        <w:t>opcyjnych</w:t>
      </w:r>
      <w:proofErr w:type="spellEnd"/>
    </w:p>
    <w:p w14:paraId="4E76A20A" w14:textId="77777777" w:rsidR="00E14E39" w:rsidRPr="00E14E39" w:rsidRDefault="00E14E39" w:rsidP="00E14E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rFonts w:eastAsia="Times New Roman"/>
          <w:color w:val="000000"/>
          <w:sz w:val="24"/>
          <w:szCs w:val="24"/>
        </w:rPr>
        <w:t>Zdefiniuj</w:t>
      </w:r>
      <w:r w:rsidR="003839DA" w:rsidRPr="00E14E39">
        <w:rPr>
          <w:rFonts w:eastAsia="Times New Roman"/>
          <w:color w:val="000000"/>
          <w:sz w:val="24"/>
          <w:szCs w:val="24"/>
        </w:rPr>
        <w:t xml:space="preserve"> termin "czas trwania" dla obligacji i poda</w:t>
      </w:r>
      <w:r w:rsidRPr="00E14E39">
        <w:rPr>
          <w:rFonts w:eastAsia="Times New Roman"/>
          <w:color w:val="000000"/>
          <w:sz w:val="24"/>
          <w:szCs w:val="24"/>
        </w:rPr>
        <w:t>j</w:t>
      </w:r>
      <w:r w:rsidR="003839DA" w:rsidRPr="00E14E39">
        <w:rPr>
          <w:rFonts w:eastAsia="Times New Roman"/>
          <w:color w:val="000000"/>
          <w:sz w:val="24"/>
          <w:szCs w:val="24"/>
        </w:rPr>
        <w:t xml:space="preserve"> jego dwie interpretacje</w:t>
      </w:r>
    </w:p>
    <w:p w14:paraId="1F309BCC" w14:textId="77777777" w:rsidR="00E14E39" w:rsidRPr="00E14E39" w:rsidRDefault="00E14E39" w:rsidP="00E14E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rFonts w:eastAsia="Times New Roman"/>
          <w:color w:val="000000"/>
          <w:sz w:val="24"/>
          <w:szCs w:val="24"/>
        </w:rPr>
        <w:t>Omów</w:t>
      </w:r>
      <w:r w:rsidR="003839DA" w:rsidRPr="00E14E39">
        <w:rPr>
          <w:rFonts w:eastAsia="Times New Roman"/>
          <w:color w:val="000000"/>
          <w:sz w:val="24"/>
          <w:szCs w:val="24"/>
        </w:rPr>
        <w:t xml:space="preserve"> definicje </w:t>
      </w:r>
      <w:r w:rsidRPr="00E14E39">
        <w:rPr>
          <w:rFonts w:eastAsia="Times New Roman"/>
          <w:color w:val="000000"/>
          <w:sz w:val="24"/>
          <w:szCs w:val="24"/>
        </w:rPr>
        <w:t>zjawiska</w:t>
      </w:r>
      <w:r w:rsidR="003839DA" w:rsidRPr="00E14E39">
        <w:rPr>
          <w:rFonts w:eastAsia="Times New Roman"/>
          <w:color w:val="000000"/>
          <w:sz w:val="24"/>
          <w:szCs w:val="24"/>
        </w:rPr>
        <w:t xml:space="preserve"> ryzyka i niepewności. Poda</w:t>
      </w:r>
      <w:r w:rsidRPr="00E14E39">
        <w:rPr>
          <w:rFonts w:eastAsia="Times New Roman"/>
          <w:color w:val="000000"/>
          <w:sz w:val="24"/>
          <w:szCs w:val="24"/>
        </w:rPr>
        <w:t>j</w:t>
      </w:r>
      <w:r w:rsidR="003839DA" w:rsidRPr="00E14E39">
        <w:rPr>
          <w:rFonts w:eastAsia="Times New Roman"/>
          <w:color w:val="000000"/>
          <w:sz w:val="24"/>
          <w:szCs w:val="24"/>
        </w:rPr>
        <w:t xml:space="preserve"> i omów</w:t>
      </w:r>
      <w:r w:rsidRPr="00E14E39">
        <w:rPr>
          <w:rFonts w:eastAsia="Times New Roman"/>
          <w:color w:val="000000"/>
          <w:sz w:val="24"/>
          <w:szCs w:val="24"/>
        </w:rPr>
        <w:t xml:space="preserve"> </w:t>
      </w:r>
      <w:r w:rsidR="003839DA" w:rsidRPr="00E14E39">
        <w:rPr>
          <w:rFonts w:eastAsia="Times New Roman"/>
          <w:color w:val="000000"/>
          <w:sz w:val="24"/>
          <w:szCs w:val="24"/>
        </w:rPr>
        <w:t xml:space="preserve">metody podejmowania decyzji w sytuacji </w:t>
      </w:r>
      <w:r w:rsidRPr="00E14E39">
        <w:rPr>
          <w:rFonts w:eastAsia="Times New Roman"/>
          <w:color w:val="000000"/>
          <w:sz w:val="24"/>
          <w:szCs w:val="24"/>
        </w:rPr>
        <w:t>niepewności</w:t>
      </w:r>
      <w:r w:rsidR="003839DA" w:rsidRPr="00E14E39">
        <w:rPr>
          <w:rFonts w:eastAsia="Times New Roman"/>
          <w:color w:val="000000"/>
          <w:sz w:val="24"/>
          <w:szCs w:val="24"/>
        </w:rPr>
        <w:t>.</w:t>
      </w:r>
      <w:r w:rsidRPr="00E14E39">
        <w:rPr>
          <w:rFonts w:eastAsia="Times New Roman"/>
          <w:color w:val="000000"/>
          <w:sz w:val="24"/>
          <w:szCs w:val="24"/>
        </w:rPr>
        <w:t xml:space="preserve"> </w:t>
      </w:r>
    </w:p>
    <w:p w14:paraId="04E71E7C" w14:textId="77777777" w:rsidR="00E14E39" w:rsidRPr="00E14E39" w:rsidRDefault="00E14E39" w:rsidP="00E14E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rFonts w:eastAsia="Times New Roman"/>
          <w:color w:val="000000"/>
          <w:sz w:val="24"/>
          <w:szCs w:val="24"/>
        </w:rPr>
        <w:t>Standardy wartości przedsiębiorstwa</w:t>
      </w:r>
    </w:p>
    <w:p w14:paraId="396321DF" w14:textId="77777777" w:rsidR="00E14E39" w:rsidRPr="00E14E39" w:rsidRDefault="00E14E39" w:rsidP="00E14E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rFonts w:eastAsia="Times New Roman"/>
          <w:color w:val="000000"/>
          <w:sz w:val="24"/>
          <w:szCs w:val="24"/>
        </w:rPr>
        <w:t>Determinanty szacunku wartości przedsiębiorstwa</w:t>
      </w:r>
    </w:p>
    <w:p w14:paraId="6E4F4C21" w14:textId="77777777" w:rsidR="00E14E39" w:rsidRPr="00E14E39" w:rsidRDefault="00E14E39" w:rsidP="00E14E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rFonts w:eastAsia="Times New Roman"/>
          <w:color w:val="000000"/>
          <w:sz w:val="24"/>
          <w:szCs w:val="24"/>
        </w:rPr>
        <w:t>Majątkowe metody wyceny wartości przedsiębiorstwa. Zasady postepowania. Zalety. Wady</w:t>
      </w:r>
    </w:p>
    <w:p w14:paraId="3D04E79A" w14:textId="6AC04CCD" w:rsidR="00E14E39" w:rsidRPr="00E14E39" w:rsidRDefault="00E14E39" w:rsidP="00E14E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rFonts w:eastAsia="Times New Roman"/>
          <w:color w:val="000000"/>
          <w:sz w:val="24"/>
          <w:szCs w:val="24"/>
        </w:rPr>
        <w:t>Dochodowe metody wyceny wartości przedsiębiorstwa. Zasady postepowania. Zalety. Wady</w:t>
      </w:r>
    </w:p>
    <w:p w14:paraId="75D3D678" w14:textId="77777777" w:rsidR="00E14E39" w:rsidRPr="00E14E39" w:rsidRDefault="00E14E39" w:rsidP="00E14E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rFonts w:eastAsia="Times New Roman"/>
          <w:color w:val="000000"/>
          <w:sz w:val="24"/>
          <w:szCs w:val="24"/>
        </w:rPr>
        <w:t>Omów specyfikę funduszy Private equity/Venture capital </w:t>
      </w:r>
    </w:p>
    <w:p w14:paraId="5AD7A5DD" w14:textId="77777777" w:rsidR="00E14E39" w:rsidRPr="00E14E39" w:rsidRDefault="00E14E39" w:rsidP="00E14E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rFonts w:eastAsia="Times New Roman"/>
          <w:color w:val="000000"/>
          <w:sz w:val="24"/>
          <w:szCs w:val="24"/>
        </w:rPr>
        <w:t>Omów podstawowe metody szacowania wartości nieruchomości </w:t>
      </w:r>
    </w:p>
    <w:p w14:paraId="1E02FB42" w14:textId="77777777" w:rsidR="00E14E39" w:rsidRPr="00E14E39" w:rsidRDefault="00E14E39" w:rsidP="00E14E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rFonts w:eastAsia="Times New Roman"/>
          <w:color w:val="000000"/>
          <w:sz w:val="24"/>
          <w:szCs w:val="24"/>
        </w:rPr>
        <w:t>Omów wybrane taktyki ofertowe stosowane w transakcjach M&amp;A </w:t>
      </w:r>
    </w:p>
    <w:p w14:paraId="736DE2FF" w14:textId="77777777" w:rsidR="00E14E39" w:rsidRPr="00E14E39" w:rsidRDefault="00E14E39" w:rsidP="00E14E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rFonts w:eastAsia="Times New Roman"/>
          <w:color w:val="000000"/>
          <w:sz w:val="24"/>
          <w:szCs w:val="24"/>
        </w:rPr>
        <w:t xml:space="preserve">Omów wybrane taktyki stosowane w ramach </w:t>
      </w:r>
      <w:proofErr w:type="spellStart"/>
      <w:r w:rsidRPr="00E14E39">
        <w:rPr>
          <w:rFonts w:eastAsia="Times New Roman"/>
          <w:color w:val="000000"/>
          <w:sz w:val="24"/>
          <w:szCs w:val="24"/>
        </w:rPr>
        <w:t>raid</w:t>
      </w:r>
      <w:proofErr w:type="spellEnd"/>
      <w:r w:rsidRPr="00E14E3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14E39">
        <w:rPr>
          <w:rFonts w:eastAsia="Times New Roman"/>
          <w:color w:val="000000"/>
          <w:sz w:val="24"/>
          <w:szCs w:val="24"/>
        </w:rPr>
        <w:t>defense</w:t>
      </w:r>
      <w:proofErr w:type="spellEnd"/>
      <w:r w:rsidRPr="00E14E39">
        <w:rPr>
          <w:rFonts w:eastAsia="Times New Roman"/>
          <w:color w:val="000000"/>
          <w:sz w:val="24"/>
          <w:szCs w:val="24"/>
        </w:rPr>
        <w:t> </w:t>
      </w:r>
    </w:p>
    <w:p w14:paraId="687EA669" w14:textId="77777777" w:rsidR="00E14E39" w:rsidRPr="00E14E39" w:rsidRDefault="00E14E39" w:rsidP="00E14E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rFonts w:eastAsia="Times New Roman"/>
          <w:color w:val="000000"/>
          <w:sz w:val="24"/>
          <w:szCs w:val="24"/>
        </w:rPr>
        <w:t>Omów proces zarządzania ryzykiem w przedsiębiorstwie z perspektywy normy ISO 31000</w:t>
      </w:r>
    </w:p>
    <w:p w14:paraId="5DC306AD" w14:textId="77777777" w:rsidR="00E14E39" w:rsidRPr="00E14E39" w:rsidRDefault="00E14E39" w:rsidP="00E14E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rFonts w:eastAsia="Times New Roman"/>
          <w:color w:val="000000"/>
          <w:sz w:val="24"/>
          <w:szCs w:val="24"/>
        </w:rPr>
        <w:t>Scharakteryzuj podstawowe miary efektywności i ryzyka inwestycji</w:t>
      </w:r>
    </w:p>
    <w:p w14:paraId="1DE3F058" w14:textId="77777777" w:rsidR="00E14E39" w:rsidRPr="00E14E39" w:rsidRDefault="00E14E39" w:rsidP="00E14E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rFonts w:eastAsia="Times New Roman"/>
          <w:color w:val="000000"/>
          <w:sz w:val="24"/>
          <w:szCs w:val="24"/>
        </w:rPr>
        <w:t>Scharakteryzuj ubezpieczenie utraty zysku i wyjaśnij, jaka jest rola tego ubezpieczenia w zapewnieniu płynności przedsiębiorstwa.</w:t>
      </w:r>
    </w:p>
    <w:p w14:paraId="4C881D1C" w14:textId="77777777" w:rsidR="00E14E39" w:rsidRPr="00E14E39" w:rsidRDefault="00E14E39" w:rsidP="00E14E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rFonts w:eastAsia="Times New Roman"/>
          <w:color w:val="000000"/>
          <w:sz w:val="24"/>
          <w:szCs w:val="24"/>
        </w:rPr>
        <w:t>Wymień i opisz zasady przetwarzania danych osobowych zawarte w RODO.</w:t>
      </w:r>
    </w:p>
    <w:p w14:paraId="19CA8128" w14:textId="77777777" w:rsidR="00E14E39" w:rsidRPr="00E14E39" w:rsidRDefault="00E14E39" w:rsidP="00E14E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rFonts w:eastAsia="Times New Roman"/>
          <w:color w:val="000000"/>
          <w:sz w:val="24"/>
          <w:szCs w:val="24"/>
        </w:rPr>
        <w:t>Teoria perspektywy jako deskryptywne podejście do podejmowania decyzji obarczonych ryzykiem</w:t>
      </w:r>
    </w:p>
    <w:p w14:paraId="08C9A770" w14:textId="77777777" w:rsidR="00E14E39" w:rsidRPr="00E14E39" w:rsidRDefault="00E14E39" w:rsidP="00E14E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rFonts w:eastAsia="Times New Roman"/>
          <w:color w:val="000000"/>
          <w:sz w:val="24"/>
          <w:szCs w:val="24"/>
        </w:rPr>
        <w:t>Koncepcja ograniczonej racjonalności (</w:t>
      </w:r>
      <w:proofErr w:type="spellStart"/>
      <w:r w:rsidRPr="00E14E39">
        <w:rPr>
          <w:rFonts w:eastAsia="Times New Roman"/>
          <w:color w:val="000000"/>
          <w:sz w:val="24"/>
          <w:szCs w:val="24"/>
        </w:rPr>
        <w:t>bounded</w:t>
      </w:r>
      <w:proofErr w:type="spellEnd"/>
      <w:r w:rsidRPr="00E14E3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E14E39">
        <w:rPr>
          <w:rFonts w:eastAsia="Times New Roman"/>
          <w:color w:val="000000"/>
          <w:sz w:val="24"/>
          <w:szCs w:val="24"/>
        </w:rPr>
        <w:t>rationality</w:t>
      </w:r>
      <w:proofErr w:type="spellEnd"/>
      <w:r w:rsidRPr="00E14E39">
        <w:rPr>
          <w:rFonts w:eastAsia="Times New Roman"/>
          <w:color w:val="000000"/>
          <w:sz w:val="24"/>
          <w:szCs w:val="24"/>
        </w:rPr>
        <w:t>)</w:t>
      </w:r>
    </w:p>
    <w:p w14:paraId="3B29273D" w14:textId="77777777" w:rsidR="00E14E39" w:rsidRPr="00E14E39" w:rsidRDefault="00E14E39" w:rsidP="00E14E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rFonts w:eastAsia="Times New Roman"/>
          <w:color w:val="000000"/>
          <w:sz w:val="24"/>
          <w:szCs w:val="24"/>
        </w:rPr>
        <w:t>Inklinacje behawioralne związane z podejmowaniem decyzji ekonomicznych</w:t>
      </w:r>
    </w:p>
    <w:p w14:paraId="34D327CD" w14:textId="77777777" w:rsidR="00E14E39" w:rsidRPr="00E14E39" w:rsidRDefault="00E14E39" w:rsidP="00E14E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rFonts w:eastAsia="Times New Roman"/>
          <w:color w:val="000000"/>
          <w:sz w:val="24"/>
          <w:szCs w:val="24"/>
        </w:rPr>
        <w:t>Wpływ punktu odniesienia na decyzje ekonomiczne</w:t>
      </w:r>
    </w:p>
    <w:p w14:paraId="22F8A3B7" w14:textId="77777777" w:rsidR="00E14E39" w:rsidRPr="00E14E39" w:rsidRDefault="00E14E39" w:rsidP="00E14E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sz w:val="24"/>
          <w:szCs w:val="24"/>
        </w:rPr>
        <w:t>Pierwotne i wtórne źródła informacji</w:t>
      </w:r>
    </w:p>
    <w:p w14:paraId="37AD72FB" w14:textId="77777777" w:rsidR="00E14E39" w:rsidRPr="00E14E39" w:rsidRDefault="00E14E39" w:rsidP="00E14E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rFonts w:eastAsia="Times New Roman"/>
          <w:color w:val="000000"/>
          <w:sz w:val="24"/>
          <w:szCs w:val="24"/>
        </w:rPr>
        <w:t>Ankiety - rodzaje, zasady i etapy budowy.</w:t>
      </w:r>
    </w:p>
    <w:p w14:paraId="1420D650" w14:textId="77777777" w:rsidR="00E14E39" w:rsidRPr="00E14E39" w:rsidRDefault="00E14E39" w:rsidP="00E14E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rFonts w:eastAsia="Times New Roman"/>
          <w:color w:val="000000"/>
          <w:sz w:val="24"/>
          <w:szCs w:val="24"/>
        </w:rPr>
        <w:t>Cechy, funkcje i organizacja badań marketingowych.</w:t>
      </w:r>
    </w:p>
    <w:p w14:paraId="4ACA6758" w14:textId="77777777" w:rsidR="00E14E39" w:rsidRPr="00E14E39" w:rsidRDefault="00E14E39" w:rsidP="00E14E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sz w:val="24"/>
          <w:szCs w:val="24"/>
        </w:rPr>
        <w:t>Etapy projektowania badania marketingowego.</w:t>
      </w:r>
    </w:p>
    <w:p w14:paraId="218A57C5" w14:textId="77777777" w:rsidR="00E14E39" w:rsidRPr="00E14E39" w:rsidRDefault="00E14E39" w:rsidP="00E14E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rFonts w:eastAsia="Times New Roman"/>
          <w:color w:val="000000"/>
          <w:sz w:val="24"/>
          <w:szCs w:val="24"/>
        </w:rPr>
        <w:t>Determinanty wyboru formy organizacyjno-prawnej prowadzenia działalności gospodarczej.</w:t>
      </w:r>
    </w:p>
    <w:p w14:paraId="5355F456" w14:textId="77777777" w:rsidR="00E14E39" w:rsidRPr="00E14E39" w:rsidRDefault="00E14E39" w:rsidP="00E14E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rFonts w:eastAsia="Times New Roman"/>
          <w:color w:val="000000"/>
          <w:sz w:val="24"/>
          <w:szCs w:val="24"/>
        </w:rPr>
        <w:t>Rola kapitału społecznego w procesie zakładania i prowadzenia działalności gospodarczej.</w:t>
      </w:r>
    </w:p>
    <w:p w14:paraId="238B63EE" w14:textId="77777777" w:rsidR="00E14E39" w:rsidRPr="00E14E39" w:rsidRDefault="00E14E39" w:rsidP="00E14E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rFonts w:eastAsia="Times New Roman"/>
          <w:color w:val="000000"/>
          <w:sz w:val="24"/>
          <w:szCs w:val="24"/>
        </w:rPr>
        <w:t>Kryteria wyboru formy opodatkowania jednoosobowej działalności gospodarczej.</w:t>
      </w:r>
    </w:p>
    <w:p w14:paraId="35856F63" w14:textId="77777777" w:rsidR="00E14E39" w:rsidRPr="00E14E39" w:rsidRDefault="00E14E39" w:rsidP="00E14E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rFonts w:eastAsia="Times New Roman"/>
          <w:color w:val="000000"/>
          <w:sz w:val="24"/>
          <w:szCs w:val="24"/>
        </w:rPr>
        <w:t>Wpływ czwartej rewolucji przemysłowej na funkcjonowanie przedsiębiorstw.</w:t>
      </w:r>
    </w:p>
    <w:p w14:paraId="2C61977E" w14:textId="33524CD0" w:rsidR="00656CE6" w:rsidRPr="00E14E39" w:rsidRDefault="003839DA" w:rsidP="00F9750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14E39">
        <w:rPr>
          <w:rFonts w:eastAsia="Times New Roman"/>
          <w:color w:val="000000"/>
          <w:sz w:val="24"/>
          <w:szCs w:val="24"/>
        </w:rPr>
        <w:t>Rol</w:t>
      </w:r>
      <w:r w:rsidR="00E14E39" w:rsidRPr="00E14E39">
        <w:rPr>
          <w:rFonts w:eastAsia="Times New Roman"/>
          <w:color w:val="000000"/>
          <w:sz w:val="24"/>
          <w:szCs w:val="24"/>
        </w:rPr>
        <w:t>a</w:t>
      </w:r>
      <w:r w:rsidRPr="00E14E39">
        <w:rPr>
          <w:rFonts w:eastAsia="Times New Roman"/>
          <w:color w:val="000000"/>
          <w:sz w:val="24"/>
          <w:szCs w:val="24"/>
        </w:rPr>
        <w:t xml:space="preserve"> i znaczenia dywidendy dla spółek giełdowych i ich akcjonariuszy </w:t>
      </w:r>
    </w:p>
    <w:sectPr w:rsidR="00656CE6" w:rsidRPr="00E14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71AC1"/>
    <w:multiLevelType w:val="multilevel"/>
    <w:tmpl w:val="40C40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A0288"/>
    <w:multiLevelType w:val="hybridMultilevel"/>
    <w:tmpl w:val="79704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5385E"/>
    <w:multiLevelType w:val="multilevel"/>
    <w:tmpl w:val="3BE67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635F71"/>
    <w:multiLevelType w:val="multilevel"/>
    <w:tmpl w:val="BDDE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6B362C"/>
    <w:multiLevelType w:val="multilevel"/>
    <w:tmpl w:val="DC04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694585"/>
    <w:multiLevelType w:val="multilevel"/>
    <w:tmpl w:val="6E5A0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3981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509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35848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69998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48512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4754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C4"/>
    <w:rsid w:val="00024868"/>
    <w:rsid w:val="003839DA"/>
    <w:rsid w:val="004A26A3"/>
    <w:rsid w:val="00656CE6"/>
    <w:rsid w:val="00E14E39"/>
    <w:rsid w:val="00E356C4"/>
    <w:rsid w:val="00F9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FF41"/>
  <w15:chartTrackingRefBased/>
  <w15:docId w15:val="{AB0A7633-1804-4FFC-91CB-331F63BE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6C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lementtoproof">
    <w:name w:val="elementtoproof"/>
    <w:basedOn w:val="Normalny"/>
    <w:rsid w:val="003839DA"/>
    <w:pPr>
      <w:spacing w:before="100" w:beforeAutospacing="1" w:after="100" w:afterAutospacing="1"/>
    </w:pPr>
  </w:style>
  <w:style w:type="character" w:customStyle="1" w:styleId="contentpasted0">
    <w:name w:val="contentpasted0"/>
    <w:basedOn w:val="Domylnaczcionkaakapitu"/>
    <w:rsid w:val="004A26A3"/>
  </w:style>
  <w:style w:type="paragraph" w:styleId="Akapitzlist">
    <w:name w:val="List Paragraph"/>
    <w:basedOn w:val="Normalny"/>
    <w:uiPriority w:val="34"/>
    <w:qFormat/>
    <w:rsid w:val="00F9750F"/>
    <w:pPr>
      <w:ind w:left="720"/>
      <w:contextualSpacing/>
    </w:pPr>
  </w:style>
  <w:style w:type="paragraph" w:customStyle="1" w:styleId="contentpasted01">
    <w:name w:val="contentpasted01"/>
    <w:basedOn w:val="Normalny"/>
    <w:rsid w:val="00656CE6"/>
    <w:pPr>
      <w:spacing w:before="100" w:beforeAutospacing="1" w:after="100" w:afterAutospacing="1"/>
    </w:pPr>
  </w:style>
  <w:style w:type="character" w:customStyle="1" w:styleId="contentpasted1">
    <w:name w:val="contentpasted1"/>
    <w:basedOn w:val="Domylnaczcionkaakapitu"/>
    <w:rsid w:val="00656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2018</Characters>
  <Application>Microsoft Office Word</Application>
  <DocSecurity>0</DocSecurity>
  <Lines>16</Lines>
  <Paragraphs>4</Paragraphs>
  <ScaleCrop>false</ScaleCrop>
  <Company>Uniwersytet Ekonomiczny w Krakowie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Folwarski</dc:creator>
  <cp:keywords/>
  <dc:description/>
  <cp:lastModifiedBy>Mateusz Folwarski</cp:lastModifiedBy>
  <cp:revision>10</cp:revision>
  <dcterms:created xsi:type="dcterms:W3CDTF">2023-02-16T13:44:00Z</dcterms:created>
  <dcterms:modified xsi:type="dcterms:W3CDTF">2023-02-23T07:41:00Z</dcterms:modified>
</cp:coreProperties>
</file>